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8E1A" w14:textId="77777777" w:rsidR="00F129E5" w:rsidRDefault="005C0339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lang w:eastAsia="zh-TW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2023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年度澳門重點研發資助計劃</w:t>
      </w:r>
    </w:p>
    <w:p w14:paraId="30CC2FB0" w14:textId="28C14DA6" w:rsidR="0061255A" w:rsidRDefault="00A62D51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lang w:eastAsia="zh-TW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中醫藥</w:t>
      </w:r>
      <w:r w:rsidR="0061255A"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大健康</w:t>
      </w:r>
    </w:p>
    <w:p w14:paraId="2EDA5D9B" w14:textId="695303F8" w:rsidR="00F129E5" w:rsidRDefault="005C0339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  <w:lang w:eastAsia="zh-TW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  <w:lang w:eastAsia="zh-TW"/>
        </w:rPr>
        <w:t>中藥（保健品）領域申報指南</w:t>
      </w:r>
    </w:p>
    <w:p w14:paraId="0A45CBD8" w14:textId="77777777" w:rsidR="00F129E5" w:rsidRDefault="00F129E5">
      <w:pPr>
        <w:adjustRightInd w:val="0"/>
        <w:snapToGrid w:val="0"/>
        <w:spacing w:line="300" w:lineRule="auto"/>
        <w:rPr>
          <w:b/>
          <w:bCs/>
          <w:sz w:val="32"/>
          <w:szCs w:val="32"/>
          <w:lang w:eastAsia="zh-TW"/>
        </w:rPr>
      </w:pPr>
    </w:p>
    <w:p w14:paraId="32A9CA5A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>一、背景</w:t>
      </w:r>
    </w:p>
    <w:p w14:paraId="36C4B0F8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2022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年，國務院辦公廳印發《“十四五”中醫藥發展規劃》（以下簡稱《規劃》），對“十四五”時期中醫藥工作進行全面部署。《規劃》明確，到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2025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，中醫藥健康服務能力明顯增強，中醫藥高質量發展政策和體系進一步完善，中醫藥振興發展取得積極成效，在健康中國建設中的獨特優勢得到充分發揮。《規劃》部署了十方面重點任務，其中包括“發展中醫藥健康服務業”，並提到“豐富中醫藥健康產品供給。以保健食品、特殊醫學用途配方食品、功能性化妝品、日化產品為重點，研發中醫藥健康產品。”</w:t>
      </w:r>
    </w:p>
    <w:p w14:paraId="32C5DE81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澳門特區政府發佈的《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2023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年財政年度施政報告》提出採取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“1+4”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適度多元發展策略，大健康是四大重點產業之一，中醫藥是澳門大健康產業發展的優勢和重要切入點。《澳門特別行政區經濟和社會發展第二個五年規劃（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2021-2025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）》中提出“進一步投放資源，推動中藥經典名方研發、創新中藥研制與開發、中藥質量控制及標準化技術、中藥保健品開發等”。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2010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年，科技部批准在澳門設立中藥質量研究國家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lastRenderedPageBreak/>
        <w:t>重點實驗室。通過十多年來的發展，澳門在中醫藥人才培養、科研發展、國際平台搭建等方面取得豐碩成果，“產學研”鏈條日益壯大，具備條件發展成為新增長極。</w:t>
      </w:r>
    </w:p>
    <w:p w14:paraId="6BF5CE7B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為充分發揮澳門中醫藥產品開發的優勢，提升中醫藥服務現代化和中醫藥發展產業化，澳門科學技術發展基金在徵求澳門相關領域科研人員意見的基礎上，依託內地專家的力量，研究提出了本項重點研發計劃，有計劃、有步驟地配合國家所需、發揮澳門所長。期望以科技創新推進澳門經濟適度多元化發展，以中藥健康產品研究為突破口，進一步推進澳門中醫藥大健康產業發展，使中醫藥發展成果更好地惠及廣大群眾，助力粵港澳大灣區國際科技創新中心建設，為建設創新型國家貢獻力量。</w:t>
      </w:r>
    </w:p>
    <w:p w14:paraId="4FFF39CC" w14:textId="77777777" w:rsidR="00F129E5" w:rsidRDefault="00F129E5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0D591D5B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 xml:space="preserve">二、總體目標 </w:t>
      </w:r>
    </w:p>
    <w:p w14:paraId="2EC7E228" w14:textId="4A3AB13A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通過本研發計劃實施，構建具有澳門特色的中藥健康產品研發體系，探索健康產品開發的關鍵技術，逐步形成澳門中藥健康產品產業鏈，培育相關領域研究團隊和研究人才，推動澳門生物醫藥大健康產業高質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Hans"/>
        </w:rPr>
        <w:t>量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發展。</w:t>
      </w:r>
    </w:p>
    <w:p w14:paraId="453BF7EA" w14:textId="77777777" w:rsidR="00F129E5" w:rsidRDefault="00F129E5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28A2AE9D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>三、研究方向</w:t>
      </w:r>
    </w:p>
    <w:p w14:paraId="04119860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/>
          <w:b/>
          <w:bCs/>
          <w:sz w:val="32"/>
          <w:szCs w:val="32"/>
          <w:lang w:eastAsia="zh-TW"/>
        </w:rPr>
        <w:t>研究方向：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藥食同源中藥健康產品開發的關鍵技術及產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lastRenderedPageBreak/>
        <w:t>品創制</w:t>
      </w:r>
    </w:p>
    <w:p w14:paraId="320F5E76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按照中藥大健康產業發展模式，選擇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3-5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種藥食同源中藥，開展中藥健康產品關鍵技術探索，重點針對全成分分析、功效評價、安全性評價、質量控制、工藝研究進行關鍵技術研究；在此基礎上對以上藥食同源中藥進行功能成分挖掘、健康產品研發。</w:t>
      </w:r>
    </w:p>
    <w:p w14:paraId="12A7A891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b/>
          <w:bCs/>
          <w:sz w:val="32"/>
          <w:szCs w:val="32"/>
          <w:lang w:eastAsia="zh-TW"/>
        </w:rPr>
        <w:t>考核指標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：</w:t>
      </w:r>
    </w:p>
    <w:p w14:paraId="44FA7208" w14:textId="48ADD270" w:rsidR="00F129E5" w:rsidRPr="00132C6E" w:rsidRDefault="005C0339" w:rsidP="00132C6E">
      <w:pPr>
        <w:adjustRightInd w:val="0"/>
        <w:snapToGrid w:val="0"/>
        <w:spacing w:line="300" w:lineRule="auto"/>
        <w:ind w:leftChars="302" w:left="1354" w:hangingChars="225" w:hanging="72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對全成分分析、功效評價、安全性評價、質量控制、工藝研究等健康產品開發環節分別建立</w:t>
      </w:r>
      <w:r w:rsidRPr="00132C6E">
        <w:rPr>
          <w:rFonts w:ascii="Times New Roman" w:eastAsia="FangSong_GB2312" w:hAnsi="Times New Roman" w:cs="Times New Roman"/>
          <w:sz w:val="32"/>
          <w:szCs w:val="32"/>
          <w:lang w:eastAsia="zh-TW"/>
        </w:rPr>
        <w:t>1-2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個關鍵技術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。</w:t>
      </w:r>
    </w:p>
    <w:p w14:paraId="56F56EF4" w14:textId="77777777" w:rsidR="00F129E5" w:rsidRPr="00132C6E" w:rsidRDefault="005C0339" w:rsidP="00132C6E">
      <w:pPr>
        <w:adjustRightInd w:val="0"/>
        <w:snapToGrid w:val="0"/>
        <w:spacing w:line="300" w:lineRule="auto"/>
        <w:ind w:leftChars="302" w:left="1354" w:hangingChars="225" w:hanging="72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2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獲得藥食同源中藥研發功能成分不少於</w:t>
      </w:r>
      <w:r w:rsidRPr="00132C6E">
        <w:rPr>
          <w:rFonts w:ascii="Times New Roman" w:eastAsia="FangSong_GB2312" w:hAnsi="Times New Roman" w:cs="Times New Roman"/>
          <w:sz w:val="32"/>
          <w:szCs w:val="32"/>
          <w:lang w:eastAsia="zh-TW"/>
        </w:rPr>
        <w:t>3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種，開發的健康產品不少於</w:t>
      </w:r>
      <w:r w:rsidRPr="00132C6E">
        <w:rPr>
          <w:rFonts w:ascii="Times New Roman" w:eastAsia="FangSong_GB2312" w:hAnsi="Times New Roman" w:cs="Times New Roman"/>
          <w:sz w:val="32"/>
          <w:szCs w:val="32"/>
          <w:lang w:eastAsia="zh-TW"/>
        </w:rPr>
        <w:t>3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種，其中原創產品不少於</w:t>
      </w:r>
      <w:r w:rsidRPr="00132C6E">
        <w:rPr>
          <w:rFonts w:ascii="Times New Roman" w:eastAsia="FangSong_GB2312" w:hAnsi="Times New Roman" w:cs="Times New Roman"/>
          <w:sz w:val="32"/>
          <w:szCs w:val="32"/>
          <w:lang w:eastAsia="zh-TW"/>
        </w:rPr>
        <w:t>1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種，獲得澳門功能食品註冊不少於</w:t>
      </w:r>
      <w:r w:rsidRPr="00132C6E">
        <w:rPr>
          <w:rFonts w:ascii="Times New Roman" w:eastAsia="FangSong_GB2312" w:hAnsi="Times New Roman" w:cs="Times New Roman"/>
          <w:sz w:val="32"/>
          <w:szCs w:val="32"/>
          <w:lang w:eastAsia="zh-TW"/>
        </w:rPr>
        <w:t>3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個，上市原創產品不少於</w:t>
      </w:r>
      <w:r w:rsidRPr="00132C6E">
        <w:rPr>
          <w:rFonts w:ascii="Times New Roman" w:eastAsia="FangSong_GB2312" w:hAnsi="Times New Roman" w:cs="Times New Roman"/>
          <w:sz w:val="32"/>
          <w:szCs w:val="32"/>
          <w:lang w:eastAsia="zh-TW"/>
        </w:rPr>
        <w:t>1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個。</w:t>
      </w:r>
    </w:p>
    <w:p w14:paraId="20AE5C83" w14:textId="77777777" w:rsidR="00F129E5" w:rsidRDefault="00F129E5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5C1FC735" w14:textId="4F6F00C2" w:rsidR="00F129E5" w:rsidRPr="00132C6E" w:rsidRDefault="005C0339" w:rsidP="005C0339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  <w:lang w:eastAsia="zh-TW"/>
        </w:rPr>
        <w:t>四、</w:t>
      </w:r>
      <w:r w:rsidRPr="00132C6E">
        <w:rPr>
          <w:rFonts w:ascii="SimHei" w:eastAsia="SimHei" w:hAnsi="SimHei" w:cs="SimHei" w:hint="eastAsia"/>
          <w:sz w:val="32"/>
          <w:szCs w:val="32"/>
          <w:lang w:eastAsia="zh-TW"/>
        </w:rPr>
        <w:t>申報要求</w:t>
      </w:r>
    </w:p>
    <w:p w14:paraId="4A2A303E" w14:textId="77777777" w:rsidR="00F129E5" w:rsidRPr="00132C6E" w:rsidRDefault="005C0339" w:rsidP="00132C6E">
      <w:pPr>
        <w:adjustRightInd w:val="0"/>
        <w:snapToGrid w:val="0"/>
        <w:spacing w:line="300" w:lineRule="auto"/>
        <w:ind w:leftChars="302" w:left="1469" w:hangingChars="261" w:hanging="835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申報單位根據指南所列方向的研究內容以項目形式組織申報，項目下設課題。如無特殊說明，每個項目下設課題不超過</w:t>
      </w:r>
      <w:r w:rsidRPr="00132C6E">
        <w:rPr>
          <w:rFonts w:ascii="Times New Roman" w:eastAsia="FangSong_GB2312" w:hAnsi="Times New Roman" w:cs="Times New Roman"/>
          <w:sz w:val="32"/>
          <w:szCs w:val="32"/>
          <w:lang w:eastAsia="zh-TW"/>
        </w:rPr>
        <w:t>3</w:t>
      </w:r>
      <w:r w:rsidRPr="00132C6E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個。</w:t>
      </w:r>
    </w:p>
    <w:p w14:paraId="4F899B41" w14:textId="77777777" w:rsidR="00F129E5" w:rsidRDefault="005C0339" w:rsidP="00132C6E">
      <w:pPr>
        <w:adjustRightInd w:val="0"/>
        <w:snapToGrid w:val="0"/>
        <w:spacing w:line="300" w:lineRule="auto"/>
        <w:ind w:leftChars="302" w:left="1469" w:hangingChars="261" w:hanging="835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2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）每個項目均應整體申報，須覆蓋全部研究內容和考核指標。</w:t>
      </w:r>
    </w:p>
    <w:p w14:paraId="6D15F98E" w14:textId="3725C971" w:rsidR="00F129E5" w:rsidRDefault="005C0339" w:rsidP="00132C6E">
      <w:pPr>
        <w:adjustRightInd w:val="0"/>
        <w:snapToGrid w:val="0"/>
        <w:spacing w:line="300" w:lineRule="auto"/>
        <w:ind w:leftChars="302" w:left="1469" w:hangingChars="261" w:hanging="835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lastRenderedPageBreak/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）牽頭單位須為澳門機構，鼓勵澳門</w:t>
      </w:r>
      <w:r w:rsidR="00DC5D18"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及橫琴企業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單位參與合作，每個項目的參與單位數不超過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6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家。</w:t>
      </w:r>
    </w:p>
    <w:p w14:paraId="7F13C0D5" w14:textId="4DE2E90F" w:rsidR="00F129E5" w:rsidRDefault="005C0339" w:rsidP="00132C6E">
      <w:pPr>
        <w:adjustRightInd w:val="0"/>
        <w:snapToGrid w:val="0"/>
        <w:spacing w:line="300" w:lineRule="auto"/>
        <w:ind w:leftChars="302" w:left="1469" w:hangingChars="261" w:hanging="835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4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）項目負責人及課題負責人均須具備在澳全職工作的資格。</w:t>
      </w:r>
    </w:p>
    <w:p w14:paraId="33D99C26" w14:textId="244E50AD" w:rsidR="00F129E5" w:rsidRDefault="005C0339" w:rsidP="00132C6E">
      <w:pPr>
        <w:adjustRightInd w:val="0"/>
        <w:snapToGrid w:val="0"/>
        <w:spacing w:line="300" w:lineRule="auto"/>
        <w:ind w:leftChars="302" w:left="1370" w:hangingChars="230" w:hanging="736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5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）項目必須有企業牽頭或參與，企業須提供不少於資助經費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50%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的配套經費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Hans"/>
        </w:rPr>
        <w:t>。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如為合作項目，須提供正式合作協議。</w:t>
      </w:r>
    </w:p>
    <w:p w14:paraId="6B79B93D" w14:textId="782EA970" w:rsidR="0061255A" w:rsidRDefault="0061255A" w:rsidP="00132C6E">
      <w:pPr>
        <w:adjustRightInd w:val="0"/>
        <w:snapToGrid w:val="0"/>
        <w:spacing w:line="300" w:lineRule="auto"/>
        <w:ind w:leftChars="302" w:left="1370" w:hangingChars="230" w:hanging="736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（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6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）項目實施年限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3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年。每個項目的申請金額上限為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1</w:t>
      </w:r>
      <w:r>
        <w:rPr>
          <w:rFonts w:ascii="Times New Roman" w:eastAsia="FangSong_GB2312" w:hAnsi="Times New Roman" w:cs="Times New Roman"/>
          <w:sz w:val="32"/>
          <w:szCs w:val="32"/>
          <w:lang w:eastAsia="zh-TW"/>
        </w:rPr>
        <w:t>,500</w:t>
      </w:r>
      <w:r>
        <w:rPr>
          <w:rFonts w:ascii="Times New Roman" w:eastAsia="FangSong_GB2312" w:hAnsi="Times New Roman" w:cs="Times New Roman" w:hint="eastAsia"/>
          <w:sz w:val="32"/>
          <w:szCs w:val="32"/>
          <w:lang w:eastAsia="zh-TW"/>
        </w:rPr>
        <w:t>萬澳門元。</w:t>
      </w:r>
    </w:p>
    <w:p w14:paraId="3E481F84" w14:textId="77777777" w:rsidR="00F129E5" w:rsidRDefault="00F129E5">
      <w:pPr>
        <w:adjustRightInd w:val="0"/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6FEDF041" w14:textId="77777777" w:rsidR="00F129E5" w:rsidRDefault="005C0339">
      <w:pPr>
        <w:adjustRightInd w:val="0"/>
        <w:snapToGrid w:val="0"/>
        <w:spacing w:line="300" w:lineRule="auto"/>
        <w:ind w:firstLineChars="200" w:firstLine="640"/>
        <w:rPr>
          <w:rFonts w:ascii="SimHei" w:eastAsia="SimHei" w:hAnsi="SimHei" w:cs="SimHei"/>
          <w:sz w:val="32"/>
          <w:szCs w:val="32"/>
          <w:lang w:eastAsia="zh-TW"/>
        </w:rPr>
      </w:pPr>
      <w:r>
        <w:rPr>
          <w:rFonts w:ascii="SimHei" w:eastAsia="SimHei" w:hAnsi="SimHei" w:cs="SimHei" w:hint="eastAsia"/>
          <w:sz w:val="32"/>
          <w:szCs w:val="32"/>
        </w:rPr>
        <w:t>五、參與編制的專家</w:t>
      </w:r>
    </w:p>
    <w:tbl>
      <w:tblPr>
        <w:tblStyle w:val="TableGrid"/>
        <w:tblW w:w="7565" w:type="dxa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6281"/>
      </w:tblGrid>
      <w:tr w:rsidR="00F129E5" w14:paraId="70811A75" w14:textId="77777777">
        <w:tc>
          <w:tcPr>
            <w:tcW w:w="1284" w:type="dxa"/>
          </w:tcPr>
          <w:p w14:paraId="1626DDA2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華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茜</w:t>
            </w:r>
          </w:p>
        </w:tc>
        <w:tc>
          <w:tcPr>
            <w:tcW w:w="6281" w:type="dxa"/>
          </w:tcPr>
          <w:p w14:paraId="6C11589B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  <w:lang w:eastAsia="zh-TW"/>
              </w:rPr>
              <w:t>北京中醫藥大學研究員</w:t>
            </w:r>
          </w:p>
        </w:tc>
      </w:tr>
      <w:tr w:rsidR="00F129E5" w14:paraId="7801B2B8" w14:textId="77777777">
        <w:tc>
          <w:tcPr>
            <w:tcW w:w="1284" w:type="dxa"/>
          </w:tcPr>
          <w:p w14:paraId="23E0E6ED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康文藝</w:t>
            </w:r>
          </w:p>
        </w:tc>
        <w:tc>
          <w:tcPr>
            <w:tcW w:w="6281" w:type="dxa"/>
          </w:tcPr>
          <w:p w14:paraId="0607E5A6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河南大學教授</w:t>
            </w:r>
          </w:p>
        </w:tc>
      </w:tr>
      <w:tr w:rsidR="00F129E5" w14:paraId="05F5B297" w14:textId="77777777">
        <w:tc>
          <w:tcPr>
            <w:tcW w:w="1284" w:type="dxa"/>
          </w:tcPr>
          <w:p w14:paraId="74323D7E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王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瓊</w:t>
            </w:r>
          </w:p>
        </w:tc>
        <w:tc>
          <w:tcPr>
            <w:tcW w:w="6281" w:type="dxa"/>
          </w:tcPr>
          <w:p w14:paraId="466E0655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  <w:lang w:eastAsia="zh-TW"/>
              </w:rPr>
              <w:t>中國農業科學院農產品加工研究所研究員</w:t>
            </w:r>
          </w:p>
        </w:tc>
      </w:tr>
      <w:tr w:rsidR="00F129E5" w14:paraId="1B2E0221" w14:textId="77777777">
        <w:tc>
          <w:tcPr>
            <w:tcW w:w="1284" w:type="dxa"/>
          </w:tcPr>
          <w:p w14:paraId="3DD0F7D0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余伯陽</w:t>
            </w:r>
          </w:p>
        </w:tc>
        <w:tc>
          <w:tcPr>
            <w:tcW w:w="6281" w:type="dxa"/>
          </w:tcPr>
          <w:p w14:paraId="14BFBFCE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中國藥科大學教授</w:t>
            </w:r>
          </w:p>
        </w:tc>
      </w:tr>
      <w:tr w:rsidR="00F129E5" w14:paraId="6AA318D5" w14:textId="77777777">
        <w:tc>
          <w:tcPr>
            <w:tcW w:w="1284" w:type="dxa"/>
          </w:tcPr>
          <w:p w14:paraId="4F14599E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張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Times New Roman" w:eastAsia="FangSong_GB2312" w:hAnsi="Times New Roman" w:cs="Times New Roman" w:hint="eastAsia"/>
                <w:sz w:val="32"/>
                <w:szCs w:val="32"/>
              </w:rPr>
              <w:t>磊</w:t>
            </w:r>
          </w:p>
        </w:tc>
        <w:tc>
          <w:tcPr>
            <w:tcW w:w="6281" w:type="dxa"/>
          </w:tcPr>
          <w:p w14:paraId="5ABEF3FD" w14:textId="77777777" w:rsidR="00F129E5" w:rsidRDefault="005C0339">
            <w:pPr>
              <w:snapToGrid w:val="0"/>
              <w:spacing w:line="300" w:lineRule="auto"/>
              <w:rPr>
                <w:rFonts w:ascii="Times New Roman" w:eastAsia="FangSong_GB2312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FangSong_GB2312" w:hAnsi="Times New Roman" w:cs="Times New Roman" w:hint="eastAsia"/>
                <w:sz w:val="32"/>
                <w:szCs w:val="32"/>
                <w:lang w:eastAsia="zh-TW"/>
              </w:rPr>
              <w:t>國家食品安全風險評估中心研究員</w:t>
            </w:r>
          </w:p>
        </w:tc>
      </w:tr>
    </w:tbl>
    <w:p w14:paraId="0DFCA11D" w14:textId="77777777" w:rsidR="00F129E5" w:rsidRDefault="00F129E5">
      <w:pPr>
        <w:snapToGrid w:val="0"/>
        <w:spacing w:line="30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  <w:lang w:eastAsia="zh-TW"/>
        </w:rPr>
      </w:pPr>
    </w:p>
    <w:p w14:paraId="2FBD8112" w14:textId="77777777" w:rsidR="00F129E5" w:rsidRDefault="00F129E5">
      <w:pPr>
        <w:adjustRightInd w:val="0"/>
        <w:snapToGrid w:val="0"/>
        <w:spacing w:line="300" w:lineRule="auto"/>
        <w:ind w:firstLineChars="200" w:firstLine="420"/>
        <w:rPr>
          <w:lang w:eastAsia="zh-TW"/>
        </w:rPr>
      </w:pPr>
    </w:p>
    <w:sectPr w:rsidR="00F1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HK-W5-Identity-H">
    <w:altName w:val="Calibri"/>
    <w:panose1 w:val="020B0604020202020204"/>
    <w:charset w:val="00"/>
    <w:family w:val="auto"/>
    <w:pitch w:val="default"/>
  </w:font>
  <w:font w:name="方正小标宋_GBK">
    <w:altName w:val="SimHei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FangSong_GB2312">
    <w:altName w:val="Microsoft YaHe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90B"/>
    <w:multiLevelType w:val="multilevel"/>
    <w:tmpl w:val="1970190B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0" w:hanging="360"/>
      </w:pPr>
    </w:lvl>
    <w:lvl w:ilvl="2">
      <w:start w:val="1"/>
      <w:numFmt w:val="lowerRoman"/>
      <w:lvlText w:val="%3."/>
      <w:lvlJc w:val="right"/>
      <w:pPr>
        <w:ind w:left="2800" w:hanging="180"/>
      </w:pPr>
    </w:lvl>
    <w:lvl w:ilvl="3">
      <w:start w:val="1"/>
      <w:numFmt w:val="decimal"/>
      <w:lvlText w:val="%4."/>
      <w:lvlJc w:val="left"/>
      <w:pPr>
        <w:ind w:left="3520" w:hanging="360"/>
      </w:pPr>
    </w:lvl>
    <w:lvl w:ilvl="4">
      <w:start w:val="1"/>
      <w:numFmt w:val="lowerLetter"/>
      <w:lvlText w:val="%5."/>
      <w:lvlJc w:val="left"/>
      <w:pPr>
        <w:ind w:left="4240" w:hanging="360"/>
      </w:pPr>
    </w:lvl>
    <w:lvl w:ilvl="5">
      <w:start w:val="1"/>
      <w:numFmt w:val="lowerRoman"/>
      <w:lvlText w:val="%6."/>
      <w:lvlJc w:val="right"/>
      <w:pPr>
        <w:ind w:left="4960" w:hanging="180"/>
      </w:pPr>
    </w:lvl>
    <w:lvl w:ilvl="6">
      <w:start w:val="1"/>
      <w:numFmt w:val="decimal"/>
      <w:lvlText w:val="%7."/>
      <w:lvlJc w:val="left"/>
      <w:pPr>
        <w:ind w:left="5680" w:hanging="360"/>
      </w:pPr>
    </w:lvl>
    <w:lvl w:ilvl="7">
      <w:start w:val="1"/>
      <w:numFmt w:val="lowerLetter"/>
      <w:lvlText w:val="%8."/>
      <w:lvlJc w:val="left"/>
      <w:pPr>
        <w:ind w:left="6400" w:hanging="360"/>
      </w:pPr>
    </w:lvl>
    <w:lvl w:ilvl="8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46502AB7"/>
    <w:multiLevelType w:val="multilevel"/>
    <w:tmpl w:val="46502AB7"/>
    <w:lvl w:ilvl="0">
      <w:start w:val="4"/>
      <w:numFmt w:val="japaneseCounting"/>
      <w:lvlText w:val="%1、"/>
      <w:lvlJc w:val="left"/>
      <w:pPr>
        <w:ind w:left="1360" w:hanging="720"/>
      </w:pPr>
      <w:rPr>
        <w:rFonts w:ascii="SimHei" w:eastAsia="SimHei" w:hAnsi="SimHei" w:cs="SimHei" w:hint="default"/>
      </w:r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4YWVkMzRiMWU3NTg1MDhmNWY3NjM2NTc2Mjg4ZGIifQ=="/>
  </w:docVars>
  <w:rsids>
    <w:rsidRoot w:val="77263D57"/>
    <w:rsid w:val="77263D57"/>
    <w:rsid w:val="95DDC095"/>
    <w:rsid w:val="D7F7097C"/>
    <w:rsid w:val="EF3167D5"/>
    <w:rsid w:val="F3EF914E"/>
    <w:rsid w:val="FD5F2A2D"/>
    <w:rsid w:val="00116F75"/>
    <w:rsid w:val="00132C6E"/>
    <w:rsid w:val="00281AA5"/>
    <w:rsid w:val="002D29BA"/>
    <w:rsid w:val="00387517"/>
    <w:rsid w:val="003E5D17"/>
    <w:rsid w:val="0045002D"/>
    <w:rsid w:val="004F571A"/>
    <w:rsid w:val="00534A63"/>
    <w:rsid w:val="005579D9"/>
    <w:rsid w:val="00596D53"/>
    <w:rsid w:val="005A6E88"/>
    <w:rsid w:val="005C0339"/>
    <w:rsid w:val="005F5DF3"/>
    <w:rsid w:val="0061255A"/>
    <w:rsid w:val="00693EE3"/>
    <w:rsid w:val="006A2ADC"/>
    <w:rsid w:val="00880FEC"/>
    <w:rsid w:val="00885917"/>
    <w:rsid w:val="00914519"/>
    <w:rsid w:val="009667A0"/>
    <w:rsid w:val="009B3019"/>
    <w:rsid w:val="00A537D7"/>
    <w:rsid w:val="00A62D51"/>
    <w:rsid w:val="00A91B24"/>
    <w:rsid w:val="00A937F0"/>
    <w:rsid w:val="00BC3714"/>
    <w:rsid w:val="00C27A9F"/>
    <w:rsid w:val="00CA3A49"/>
    <w:rsid w:val="00CD018D"/>
    <w:rsid w:val="00D0021F"/>
    <w:rsid w:val="00DC5D18"/>
    <w:rsid w:val="00EC2A6A"/>
    <w:rsid w:val="00F129E5"/>
    <w:rsid w:val="00FC6478"/>
    <w:rsid w:val="08885722"/>
    <w:rsid w:val="0F541C19"/>
    <w:rsid w:val="102F7953"/>
    <w:rsid w:val="1F5B14B8"/>
    <w:rsid w:val="377408AC"/>
    <w:rsid w:val="42DC0DDB"/>
    <w:rsid w:val="56B8616E"/>
    <w:rsid w:val="59226D3A"/>
    <w:rsid w:val="59F57B54"/>
    <w:rsid w:val="69F0323B"/>
    <w:rsid w:val="6DD03AF3"/>
    <w:rsid w:val="75F8216E"/>
    <w:rsid w:val="77263D57"/>
    <w:rsid w:val="7C0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E17ED1"/>
  <w15:docId w15:val="{D77C7FF9-AB74-DB40-95B2-3387CE68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333333"/>
      <w:u w:val="none"/>
    </w:rPr>
  </w:style>
  <w:style w:type="character" w:styleId="HTMLDefinition">
    <w:name w:val="HTML Definition"/>
    <w:basedOn w:val="DefaultParagraphFont"/>
    <w:qFormat/>
  </w:style>
  <w:style w:type="character" w:styleId="HTMLVariable">
    <w:name w:val="HTML Variable"/>
    <w:basedOn w:val="DefaultParagraphFont"/>
    <w:qFormat/>
  </w:style>
  <w:style w:type="character" w:styleId="Hyperlink">
    <w:name w:val="Hyperlink"/>
    <w:basedOn w:val="DefaultParagraphFont"/>
    <w:qFormat/>
    <w:rPr>
      <w:color w:val="333333"/>
      <w:u w:val="none"/>
    </w:rPr>
  </w:style>
  <w:style w:type="character" w:styleId="HTMLCode">
    <w:name w:val="HTML Code"/>
    <w:basedOn w:val="DefaultParagraphFont"/>
    <w:qFormat/>
    <w:rPr>
      <w:rFonts w:ascii="Courier New" w:hAnsi="Courier New"/>
      <w:sz w:val="20"/>
    </w:rPr>
  </w:style>
  <w:style w:type="character" w:styleId="HTMLCite">
    <w:name w:val="HTML Cite"/>
    <w:basedOn w:val="DefaultParagraphFont"/>
    <w:qFormat/>
  </w:style>
  <w:style w:type="character" w:customStyle="1" w:styleId="bg01">
    <w:name w:val="bg01"/>
    <w:basedOn w:val="DefaultParagraphFont"/>
    <w:qFormat/>
  </w:style>
  <w:style w:type="character" w:customStyle="1" w:styleId="hover3">
    <w:name w:val="hover3"/>
    <w:basedOn w:val="DefaultParagraphFont"/>
    <w:qFormat/>
    <w:rPr>
      <w:color w:val="015293"/>
    </w:rPr>
  </w:style>
  <w:style w:type="character" w:customStyle="1" w:styleId="on3">
    <w:name w:val="on3"/>
    <w:basedOn w:val="DefaultParagraphFont"/>
    <w:qFormat/>
    <w:rPr>
      <w:color w:val="FFFFFF"/>
      <w:shd w:val="clear" w:color="auto" w:fill="0B67A6"/>
    </w:rPr>
  </w:style>
  <w:style w:type="character" w:customStyle="1" w:styleId="on4">
    <w:name w:val="on4"/>
    <w:basedOn w:val="DefaultParagraphFont"/>
    <w:qFormat/>
    <w:rPr>
      <w:b/>
      <w:bCs/>
      <w:color w:val="015293"/>
    </w:rPr>
  </w:style>
  <w:style w:type="character" w:customStyle="1" w:styleId="activei">
    <w:name w:val="active&gt;i"/>
    <w:basedOn w:val="DefaultParagraphFont"/>
    <w:qFormat/>
  </w:style>
  <w:style w:type="character" w:customStyle="1" w:styleId="tabg">
    <w:name w:val="tabg"/>
    <w:basedOn w:val="DefaultParagraphFont"/>
    <w:qFormat/>
    <w:rPr>
      <w:color w:val="FFFFFF"/>
      <w:sz w:val="27"/>
      <w:szCs w:val="27"/>
    </w:rPr>
  </w:style>
  <w:style w:type="character" w:customStyle="1" w:styleId="bg02">
    <w:name w:val="bg02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DFKaiShuHK-W5-Identity-H" w:eastAsia="DFKaiShuHK-W5-Identity-H" w:hAnsi="DFKaiShuHK-W5-Identity-H" w:cs="DFKaiShuHK-W5-Identity-H"/>
      <w:color w:val="242021"/>
      <w:sz w:val="30"/>
      <w:szCs w:val="30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Revision2">
    <w:name w:val="Revision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226</Words>
  <Characters>1289</Characters>
  <Application>Microsoft Office Word</Application>
  <DocSecurity>0</DocSecurity>
  <Lines>10</Lines>
  <Paragraphs>3</Paragraphs>
  <ScaleCrop>false</ScaleCrop>
  <Company>FDCT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</dc:creator>
  <cp:lastModifiedBy>Jacky Leong</cp:lastModifiedBy>
  <cp:revision>10</cp:revision>
  <dcterms:created xsi:type="dcterms:W3CDTF">2023-07-26T09:57:00Z</dcterms:created>
  <dcterms:modified xsi:type="dcterms:W3CDTF">2023-09-08T07:24:00Z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DE8F6DE0DCE54C689BA2FB6913B5D8B1_13</vt:lpwstr>
  </property>
</Properties>
</file>